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76BC2A" w14:textId="77777777" w:rsidR="009B679F" w:rsidRDefault="009B679F" w:rsidP="000D7F20">
      <w:pPr>
        <w:spacing w:after="0" w:line="480" w:lineRule="auto"/>
        <w:jc w:val="center"/>
        <w:rPr>
          <w:rFonts w:ascii="Times New Roman" w:hAnsi="Times New Roman" w:cs="Times New Roman"/>
          <w:iCs/>
          <w:sz w:val="24"/>
          <w:szCs w:val="24"/>
          <w:lang w:val="en"/>
        </w:rPr>
      </w:pPr>
      <w:bookmarkStart w:id="0" w:name="_GoBack"/>
      <w:bookmarkEnd w:id="0"/>
    </w:p>
    <w:p w14:paraId="3843A15D" w14:textId="5BACAD07" w:rsidR="00504582" w:rsidRPr="000D7F20" w:rsidRDefault="00504582" w:rsidP="000D7F20">
      <w:pPr>
        <w:spacing w:after="0" w:line="480" w:lineRule="auto"/>
        <w:jc w:val="center"/>
        <w:rPr>
          <w:rFonts w:ascii="Times New Roman" w:hAnsi="Times New Roman" w:cs="Times New Roman"/>
          <w:b/>
          <w:iCs/>
          <w:sz w:val="24"/>
          <w:szCs w:val="24"/>
        </w:rPr>
      </w:pPr>
      <w:r w:rsidRPr="000D7F20">
        <w:rPr>
          <w:rFonts w:ascii="Times New Roman" w:hAnsi="Times New Roman" w:cs="Times New Roman"/>
          <w:b/>
          <w:iCs/>
          <w:sz w:val="24"/>
          <w:szCs w:val="24"/>
          <w:lang w:val="en"/>
        </w:rPr>
        <w:t xml:space="preserve">Glossip v. Gross and </w:t>
      </w:r>
      <w:r w:rsidRPr="000D7F20">
        <w:rPr>
          <w:rFonts w:ascii="Times New Roman" w:hAnsi="Times New Roman" w:cs="Times New Roman"/>
          <w:b/>
          <w:iCs/>
          <w:sz w:val="24"/>
          <w:szCs w:val="24"/>
        </w:rPr>
        <w:t>Hurst v. Florida</w:t>
      </w:r>
    </w:p>
    <w:p w14:paraId="15924B46" w14:textId="77777777" w:rsidR="00504582" w:rsidRPr="000D7F20" w:rsidRDefault="00504582" w:rsidP="000D7F20">
      <w:pPr>
        <w:spacing w:after="0" w:line="480" w:lineRule="auto"/>
        <w:rPr>
          <w:rFonts w:ascii="Times New Roman" w:hAnsi="Times New Roman" w:cs="Times New Roman"/>
          <w:b/>
          <w:iCs/>
          <w:sz w:val="24"/>
          <w:szCs w:val="24"/>
        </w:rPr>
      </w:pPr>
      <w:r w:rsidRPr="000D7F20">
        <w:rPr>
          <w:rFonts w:ascii="Times New Roman" w:hAnsi="Times New Roman" w:cs="Times New Roman"/>
          <w:b/>
          <w:iCs/>
          <w:sz w:val="24"/>
          <w:szCs w:val="24"/>
        </w:rPr>
        <w:t>Fact of the Cases:</w:t>
      </w:r>
    </w:p>
    <w:p w14:paraId="285E71C8" w14:textId="77777777" w:rsidR="000D7F20" w:rsidRPr="000D7F20" w:rsidRDefault="000D7F20" w:rsidP="000D7F20">
      <w:pPr>
        <w:spacing w:after="0" w:line="480" w:lineRule="auto"/>
        <w:ind w:firstLine="720"/>
        <w:rPr>
          <w:rFonts w:ascii="Times New Roman" w:hAnsi="Times New Roman" w:cs="Times New Roman"/>
          <w:sz w:val="24"/>
          <w:szCs w:val="24"/>
        </w:rPr>
      </w:pPr>
      <w:r w:rsidRPr="000D7F20">
        <w:rPr>
          <w:rFonts w:ascii="Times New Roman" w:hAnsi="Times New Roman" w:cs="Times New Roman"/>
          <w:sz w:val="24"/>
          <w:szCs w:val="24"/>
        </w:rPr>
        <w:t>First, in the case </w:t>
      </w:r>
      <w:r w:rsidRPr="000D7F20">
        <w:rPr>
          <w:rFonts w:ascii="Times New Roman" w:hAnsi="Times New Roman" w:cs="Times New Roman"/>
          <w:i/>
          <w:iCs/>
          <w:sz w:val="24"/>
          <w:szCs w:val="24"/>
        </w:rPr>
        <w:t>of Glossip v. Gross, </w:t>
      </w:r>
      <w:r w:rsidRPr="000D7F20">
        <w:rPr>
          <w:rFonts w:ascii="Times New Roman" w:hAnsi="Times New Roman" w:cs="Times New Roman"/>
          <w:sz w:val="24"/>
          <w:szCs w:val="24"/>
        </w:rPr>
        <w:t>In April 2014, Oklahoma implemented the execution of Clayton Lockett utilizing a three- remedy deadly vaccination procedure. However, the procedure was poorly implemented (</w:t>
      </w:r>
      <w:proofErr w:type="spellStart"/>
      <w:r w:rsidRPr="000D7F20">
        <w:rPr>
          <w:rFonts w:ascii="Times New Roman" w:hAnsi="Times New Roman" w:cs="Times New Roman"/>
          <w:sz w:val="24"/>
          <w:szCs w:val="24"/>
        </w:rPr>
        <w:t>Malec</w:t>
      </w:r>
      <w:proofErr w:type="spellEnd"/>
      <w:r w:rsidRPr="000D7F20">
        <w:rPr>
          <w:rFonts w:ascii="Times New Roman" w:hAnsi="Times New Roman" w:cs="Times New Roman"/>
          <w:sz w:val="24"/>
          <w:szCs w:val="24"/>
        </w:rPr>
        <w:t xml:space="preserve"> 37). Clayton awakened after being injected with the drugs that were intended to make him lifeless and failed to die until the 40 minutes later. As a result, Oklahoma considered suspending all succeeding implementations up to the time the instance was scrutinized and afterward undertake a novel procedure that would have a higher focus on ensuring that injections were implemented correctly. Following the investigation, the new procedure created a room for four alternate drug mixtures, where one was to use midazolam as the primary drug (</w:t>
      </w:r>
      <w:proofErr w:type="spellStart"/>
      <w:r w:rsidRPr="000D7F20">
        <w:rPr>
          <w:rFonts w:ascii="Times New Roman" w:hAnsi="Times New Roman" w:cs="Times New Roman"/>
          <w:sz w:val="24"/>
          <w:szCs w:val="24"/>
        </w:rPr>
        <w:t>Maerowitz</w:t>
      </w:r>
      <w:proofErr w:type="spellEnd"/>
      <w:r w:rsidRPr="000D7F20">
        <w:rPr>
          <w:rFonts w:ascii="Times New Roman" w:hAnsi="Times New Roman" w:cs="Times New Roman"/>
          <w:sz w:val="24"/>
          <w:szCs w:val="24"/>
        </w:rPr>
        <w:t xml:space="preserve"> 279). As a result, Charles Warner and the other 20 death row convicts considered suing state officers with the argument that the use of midazolam as a primary drug in implementing the execution procedure was violating the Eighth Amendment. According to the inmates, the amendment was prohibiting against the use of unusual and cruel punishment. Besides, Warner and other plaintiffs filed for an opening sanction that would have hindered Oklahoma from going on with the executions. </w:t>
      </w:r>
    </w:p>
    <w:p w14:paraId="4A3FC5B8" w14:textId="77777777" w:rsidR="000D7F20" w:rsidRPr="000D7F20" w:rsidRDefault="000D7F20" w:rsidP="000D7F20">
      <w:pPr>
        <w:spacing w:after="0" w:line="480" w:lineRule="auto"/>
        <w:ind w:firstLine="720"/>
        <w:rPr>
          <w:rFonts w:ascii="Times New Roman" w:hAnsi="Times New Roman" w:cs="Times New Roman"/>
          <w:sz w:val="24"/>
          <w:szCs w:val="24"/>
        </w:rPr>
      </w:pPr>
      <w:r w:rsidRPr="000D7F20">
        <w:rPr>
          <w:rFonts w:ascii="Times New Roman" w:hAnsi="Times New Roman" w:cs="Times New Roman"/>
          <w:sz w:val="24"/>
          <w:szCs w:val="24"/>
        </w:rPr>
        <w:t>In the second case concerning </w:t>
      </w:r>
      <w:r w:rsidRPr="000D7F20">
        <w:rPr>
          <w:rFonts w:ascii="Times New Roman" w:hAnsi="Times New Roman" w:cs="Times New Roman"/>
          <w:i/>
          <w:iCs/>
          <w:sz w:val="24"/>
          <w:szCs w:val="24"/>
        </w:rPr>
        <w:t>Hurst v. Florida, </w:t>
      </w:r>
      <w:r w:rsidRPr="000D7F20">
        <w:rPr>
          <w:rFonts w:ascii="Times New Roman" w:hAnsi="Times New Roman" w:cs="Times New Roman"/>
          <w:sz w:val="24"/>
          <w:szCs w:val="24"/>
        </w:rPr>
        <w:t xml:space="preserve">Timothy Lee was charged with first-degree murder where he had executed his co-employee, Cynthia Harrison, in a robbery incidence in a hotel where they were workers (Guyer 242). Timothy was charged and served with a death sentence but he petitioned. In the petition case, Timothy was served with a new sentence trial since the Florida Supreme Court established that Hurst counsel needed to have examined and offered evidence of Timothy's doubtful aptitude and probable biological brain injury. In the new sentence, Timothy was inhibited to present mental impedance proof as an </w:t>
      </w:r>
      <w:r w:rsidRPr="000D7F20">
        <w:rPr>
          <w:rFonts w:ascii="Times New Roman" w:hAnsi="Times New Roman" w:cs="Times New Roman"/>
          <w:sz w:val="24"/>
          <w:szCs w:val="24"/>
        </w:rPr>
        <w:lastRenderedPageBreak/>
        <w:t>unconditional block for death punishment imposition. However, Timothy was permitted to provide alleviating proof (</w:t>
      </w:r>
      <w:proofErr w:type="spellStart"/>
      <w:r w:rsidRPr="000D7F20">
        <w:rPr>
          <w:rFonts w:ascii="Times New Roman" w:hAnsi="Times New Roman" w:cs="Times New Roman"/>
          <w:sz w:val="24"/>
          <w:szCs w:val="24"/>
        </w:rPr>
        <w:t>Wermer</w:t>
      </w:r>
      <w:proofErr w:type="spellEnd"/>
      <w:r w:rsidRPr="000D7F20">
        <w:rPr>
          <w:rFonts w:ascii="Times New Roman" w:hAnsi="Times New Roman" w:cs="Times New Roman"/>
          <w:sz w:val="24"/>
          <w:szCs w:val="24"/>
        </w:rPr>
        <w:t xml:space="preserve"> 345). </w:t>
      </w:r>
    </w:p>
    <w:p w14:paraId="0B91094D" w14:textId="77777777" w:rsidR="000D7F20" w:rsidRDefault="000D7F20" w:rsidP="000D7F20">
      <w:pPr>
        <w:spacing w:after="0" w:line="480" w:lineRule="auto"/>
        <w:rPr>
          <w:rFonts w:ascii="Times New Roman" w:hAnsi="Times New Roman" w:cs="Times New Roman"/>
          <w:b/>
          <w:bCs/>
          <w:sz w:val="24"/>
          <w:szCs w:val="24"/>
        </w:rPr>
      </w:pPr>
      <w:r w:rsidRPr="000D7F20">
        <w:rPr>
          <w:rFonts w:ascii="Times New Roman" w:hAnsi="Times New Roman" w:cs="Times New Roman"/>
          <w:b/>
          <w:bCs/>
          <w:sz w:val="24"/>
          <w:szCs w:val="24"/>
        </w:rPr>
        <w:t>Concepts and Theories Related to the Cases </w:t>
      </w:r>
    </w:p>
    <w:p w14:paraId="561E8033" w14:textId="54C40998" w:rsidR="00384A89" w:rsidRPr="00384A89" w:rsidRDefault="00384A89" w:rsidP="00384A89">
      <w:pPr>
        <w:spacing w:after="0" w:line="480" w:lineRule="auto"/>
        <w:ind w:firstLine="567"/>
        <w:rPr>
          <w:rFonts w:ascii="Times New Roman" w:hAnsi="Times New Roman" w:cs="Times New Roman"/>
          <w:bCs/>
          <w:sz w:val="24"/>
          <w:szCs w:val="24"/>
        </w:rPr>
      </w:pPr>
      <w:r w:rsidRPr="00384A89">
        <w:rPr>
          <w:rFonts w:ascii="Times New Roman" w:hAnsi="Times New Roman" w:cs="Times New Roman"/>
          <w:bCs/>
          <w:sz w:val="24"/>
          <w:szCs w:val="24"/>
        </w:rPr>
        <w:t xml:space="preserve">According to Jacobs and Carmichael (253-255), various law theories have been developed. These theories are such as </w:t>
      </w:r>
      <w:r w:rsidR="00722F41">
        <w:rPr>
          <w:rFonts w:ascii="Times New Roman" w:hAnsi="Times New Roman" w:cs="Times New Roman"/>
          <w:bCs/>
          <w:sz w:val="24"/>
          <w:szCs w:val="24"/>
        </w:rPr>
        <w:t>N</w:t>
      </w:r>
      <w:r w:rsidRPr="00384A89">
        <w:rPr>
          <w:rFonts w:ascii="Times New Roman" w:hAnsi="Times New Roman" w:cs="Times New Roman"/>
          <w:bCs/>
          <w:sz w:val="24"/>
          <w:szCs w:val="24"/>
        </w:rPr>
        <w:t xml:space="preserve">atural law theory, Positive law theory, Marxist law theory, and Realist law theory. Natural law theory is described as the standards of natural justice, where justice means all forms of right actions. The right to life, security, equality, and liberty are based on natural law theory. On the other hand, Positive law theory relates to the law set out in separation of ‘is’ from the law that ‘ought’ to be. The law holds believe that rule is prepared and implemented by the sovereign state body and no need for reasoning, justice, or morality in the determination of law validity. As highlighted by </w:t>
      </w:r>
      <w:proofErr w:type="spellStart"/>
      <w:r w:rsidRPr="00384A89">
        <w:rPr>
          <w:rFonts w:ascii="Times New Roman" w:hAnsi="Times New Roman" w:cs="Times New Roman"/>
          <w:bCs/>
          <w:sz w:val="24"/>
          <w:szCs w:val="24"/>
        </w:rPr>
        <w:t>Wermer</w:t>
      </w:r>
      <w:proofErr w:type="spellEnd"/>
      <w:r w:rsidRPr="00384A89">
        <w:rPr>
          <w:rFonts w:ascii="Times New Roman" w:hAnsi="Times New Roman" w:cs="Times New Roman"/>
          <w:bCs/>
          <w:sz w:val="24"/>
          <w:szCs w:val="24"/>
        </w:rPr>
        <w:t xml:space="preserve"> (347-348), rules prepared by the sovereign body are laws regardless of contemplations. </w:t>
      </w:r>
    </w:p>
    <w:p w14:paraId="6B290B54" w14:textId="77777777" w:rsidR="00384A89" w:rsidRDefault="00384A89" w:rsidP="00384A89">
      <w:pPr>
        <w:spacing w:after="0" w:line="480" w:lineRule="auto"/>
        <w:ind w:firstLine="567"/>
        <w:rPr>
          <w:rFonts w:ascii="Times New Roman" w:hAnsi="Times New Roman" w:cs="Times New Roman"/>
          <w:bCs/>
          <w:sz w:val="24"/>
          <w:szCs w:val="24"/>
        </w:rPr>
      </w:pPr>
      <w:r w:rsidRPr="00384A89">
        <w:rPr>
          <w:rFonts w:ascii="Times New Roman" w:hAnsi="Times New Roman" w:cs="Times New Roman"/>
          <w:bCs/>
          <w:sz w:val="24"/>
          <w:szCs w:val="24"/>
        </w:rPr>
        <w:t>Besides, Marxist law theory argues that private property is the base to coming in the existence of state and law. The law indicates that properties were the main cause of classes’ creation in the society where individuals with production means use those without such means by the creation of law protecting the private property (McCann 912-914). Finally, a realistic theory of law has an interest in the real working of the raw instead of the customary description. As highlighted by the theory, rules that are not used in solving practical cases are not considered as law but exists as dead words and such dead words of law get meaning after they are applied in a real case. </w:t>
      </w:r>
    </w:p>
    <w:p w14:paraId="440B95DE" w14:textId="77777777" w:rsidR="00722F41" w:rsidRDefault="00722F41" w:rsidP="00384A89">
      <w:pPr>
        <w:spacing w:after="0" w:line="480" w:lineRule="auto"/>
        <w:rPr>
          <w:rFonts w:ascii="Times New Roman" w:hAnsi="Times New Roman" w:cs="Times New Roman"/>
          <w:b/>
          <w:bCs/>
          <w:sz w:val="24"/>
          <w:szCs w:val="24"/>
        </w:rPr>
      </w:pPr>
    </w:p>
    <w:p w14:paraId="76D54271" w14:textId="77777777" w:rsidR="00722F41" w:rsidRDefault="00722F41" w:rsidP="00384A89">
      <w:pPr>
        <w:spacing w:after="0" w:line="480" w:lineRule="auto"/>
        <w:rPr>
          <w:rFonts w:ascii="Times New Roman" w:hAnsi="Times New Roman" w:cs="Times New Roman"/>
          <w:b/>
          <w:bCs/>
          <w:sz w:val="24"/>
          <w:szCs w:val="24"/>
        </w:rPr>
      </w:pPr>
    </w:p>
    <w:p w14:paraId="072D110C" w14:textId="77777777" w:rsidR="00C4370A" w:rsidRDefault="00C4370A" w:rsidP="00384A89">
      <w:pPr>
        <w:spacing w:after="0" w:line="480" w:lineRule="auto"/>
        <w:rPr>
          <w:rFonts w:ascii="Times New Roman" w:hAnsi="Times New Roman" w:cs="Times New Roman"/>
          <w:b/>
          <w:bCs/>
          <w:sz w:val="24"/>
          <w:szCs w:val="24"/>
        </w:rPr>
      </w:pPr>
    </w:p>
    <w:p w14:paraId="3022DDEB" w14:textId="77777777" w:rsidR="00C4370A" w:rsidRDefault="00C4370A" w:rsidP="00384A89">
      <w:pPr>
        <w:spacing w:after="0" w:line="480" w:lineRule="auto"/>
        <w:rPr>
          <w:rFonts w:ascii="Times New Roman" w:hAnsi="Times New Roman" w:cs="Times New Roman"/>
          <w:b/>
          <w:bCs/>
          <w:sz w:val="24"/>
          <w:szCs w:val="24"/>
        </w:rPr>
      </w:pPr>
    </w:p>
    <w:p w14:paraId="20A47773" w14:textId="66F3C03D" w:rsidR="00384A89" w:rsidRPr="00384A89" w:rsidRDefault="00384A89" w:rsidP="00384A89">
      <w:pPr>
        <w:spacing w:after="0" w:line="480" w:lineRule="auto"/>
        <w:rPr>
          <w:rFonts w:ascii="Times New Roman" w:hAnsi="Times New Roman" w:cs="Times New Roman"/>
          <w:bCs/>
          <w:sz w:val="24"/>
          <w:szCs w:val="24"/>
        </w:rPr>
      </w:pPr>
      <w:r w:rsidRPr="00384A89">
        <w:rPr>
          <w:rFonts w:ascii="Times New Roman" w:hAnsi="Times New Roman" w:cs="Times New Roman"/>
          <w:b/>
          <w:bCs/>
          <w:sz w:val="24"/>
          <w:szCs w:val="24"/>
        </w:rPr>
        <w:t>Theories that Explain the Case Argument </w:t>
      </w:r>
    </w:p>
    <w:p w14:paraId="608739D6" w14:textId="1683A357" w:rsidR="00384A89" w:rsidRPr="00384A89" w:rsidRDefault="00384A89" w:rsidP="00384A89">
      <w:pPr>
        <w:spacing w:after="0" w:line="480" w:lineRule="auto"/>
        <w:ind w:firstLine="567"/>
        <w:rPr>
          <w:rFonts w:ascii="Times New Roman" w:hAnsi="Times New Roman" w:cs="Times New Roman"/>
          <w:bCs/>
          <w:sz w:val="24"/>
          <w:szCs w:val="24"/>
        </w:rPr>
      </w:pPr>
      <w:r w:rsidRPr="00384A89">
        <w:rPr>
          <w:rFonts w:ascii="Times New Roman" w:hAnsi="Times New Roman" w:cs="Times New Roman"/>
          <w:bCs/>
          <w:sz w:val="24"/>
          <w:szCs w:val="24"/>
        </w:rPr>
        <w:lastRenderedPageBreak/>
        <w:t>In application, the realist theory of law and positive theory of law are applicable in describing the death penalty cases related to Glossip v. Gross and Hurst v. Florida. Under the positive theory law, it has been demonstrated that law is a command of the sovereign and there exist core elements of the sovereign, sanction, and command. Command entails rule issues by the sovereign groups requesting state obedience whereas sanction entail</w:t>
      </w:r>
      <w:r w:rsidR="009B679F">
        <w:rPr>
          <w:rFonts w:ascii="Times New Roman" w:hAnsi="Times New Roman" w:cs="Times New Roman"/>
          <w:bCs/>
          <w:sz w:val="24"/>
          <w:szCs w:val="24"/>
        </w:rPr>
        <w:t>s</w:t>
      </w:r>
      <w:r w:rsidRPr="00384A89">
        <w:rPr>
          <w:rFonts w:ascii="Times New Roman" w:hAnsi="Times New Roman" w:cs="Times New Roman"/>
          <w:bCs/>
          <w:sz w:val="24"/>
          <w:szCs w:val="24"/>
        </w:rPr>
        <w:t xml:space="preserve"> evil following rule violations (Jacobs and Carmichael 250-251). This can be related to Hurst v. Florida case. In the ruling, it was held that Florida capital-sentencing scheme, where the bench rendered the ‘advisory sentence’ but the judge need to individualistically evaluate the alleviating and intensifying factors before they make life or death sentence. This violated the Sixth Amendment in consideration of the Court decision in the case of Ring v. Arizona that declared Arizona sentencing scheme as unconstitutional having allowed judges instead of a jury finding facts relevant for the sentencing defendant to death.  </w:t>
      </w:r>
    </w:p>
    <w:p w14:paraId="3EC2B663" w14:textId="7879B64B" w:rsidR="00384A89" w:rsidRPr="00384A89" w:rsidRDefault="009B679F" w:rsidP="00384A89">
      <w:pPr>
        <w:spacing w:after="0" w:line="480" w:lineRule="auto"/>
        <w:ind w:firstLine="567"/>
        <w:rPr>
          <w:rFonts w:ascii="Times New Roman" w:hAnsi="Times New Roman" w:cs="Times New Roman"/>
          <w:bCs/>
          <w:sz w:val="24"/>
          <w:szCs w:val="24"/>
        </w:rPr>
      </w:pPr>
      <w:r>
        <w:rPr>
          <w:rFonts w:ascii="Times New Roman" w:hAnsi="Times New Roman" w:cs="Times New Roman"/>
          <w:bCs/>
          <w:sz w:val="24"/>
          <w:szCs w:val="24"/>
        </w:rPr>
        <w:t>Howeve</w:t>
      </w:r>
      <w:r w:rsidR="00384A89" w:rsidRPr="00384A89">
        <w:rPr>
          <w:rFonts w:ascii="Times New Roman" w:hAnsi="Times New Roman" w:cs="Times New Roman"/>
          <w:bCs/>
          <w:sz w:val="24"/>
          <w:szCs w:val="24"/>
        </w:rPr>
        <w:t>r, under the realist theory of law, there is interest in the real work of law where judges are provided with the law to make court decisions (Guyer 245). This relates to the present case of Glossip v. Gross where death-row convicts were unable to institute the chances of success on their claim merits that midazolam use, a sedative, is Oklahoma’s first legal injection drug was violating the Eighth Amendment as it failed in rendering convict unconscious to pain. </w:t>
      </w:r>
    </w:p>
    <w:p w14:paraId="4EDBC02B" w14:textId="77777777" w:rsidR="00E10584" w:rsidRDefault="00E10584" w:rsidP="000D7F20">
      <w:pPr>
        <w:spacing w:after="0" w:line="480" w:lineRule="auto"/>
        <w:rPr>
          <w:rFonts w:ascii="Times New Roman" w:hAnsi="Times New Roman" w:cs="Times New Roman"/>
          <w:bCs/>
          <w:iCs/>
          <w:sz w:val="24"/>
          <w:szCs w:val="24"/>
        </w:rPr>
      </w:pPr>
    </w:p>
    <w:p w14:paraId="5F68010B" w14:textId="77777777" w:rsidR="00A574BB" w:rsidRDefault="00A574BB" w:rsidP="000D7F20">
      <w:pPr>
        <w:spacing w:after="0" w:line="480" w:lineRule="auto"/>
        <w:rPr>
          <w:rFonts w:ascii="Times New Roman" w:hAnsi="Times New Roman" w:cs="Times New Roman"/>
          <w:iCs/>
          <w:sz w:val="24"/>
          <w:szCs w:val="24"/>
          <w:lang w:val="en"/>
        </w:rPr>
      </w:pPr>
    </w:p>
    <w:p w14:paraId="33FCF184" w14:textId="77777777" w:rsidR="00CE48C1" w:rsidRDefault="00CE48C1" w:rsidP="000D7F20">
      <w:pPr>
        <w:spacing w:after="0" w:line="480" w:lineRule="auto"/>
        <w:rPr>
          <w:rFonts w:ascii="Times New Roman" w:hAnsi="Times New Roman" w:cs="Times New Roman"/>
          <w:iCs/>
          <w:sz w:val="24"/>
          <w:szCs w:val="24"/>
          <w:lang w:val="en"/>
        </w:rPr>
      </w:pPr>
    </w:p>
    <w:p w14:paraId="09CA2BB9" w14:textId="77777777" w:rsidR="000D7F20" w:rsidRDefault="000D7F20">
      <w:pPr>
        <w:rPr>
          <w:rFonts w:ascii="Times New Roman" w:hAnsi="Times New Roman" w:cs="Times New Roman"/>
          <w:iCs/>
          <w:sz w:val="24"/>
          <w:szCs w:val="24"/>
          <w:lang w:val="en"/>
        </w:rPr>
      </w:pPr>
      <w:r>
        <w:rPr>
          <w:rFonts w:ascii="Times New Roman" w:hAnsi="Times New Roman" w:cs="Times New Roman"/>
          <w:iCs/>
          <w:sz w:val="24"/>
          <w:szCs w:val="24"/>
          <w:lang w:val="en"/>
        </w:rPr>
        <w:br w:type="page"/>
      </w:r>
    </w:p>
    <w:p w14:paraId="2BFC18B9" w14:textId="77777777" w:rsidR="00CE48C1" w:rsidRDefault="000D7F20" w:rsidP="000D7F20">
      <w:pPr>
        <w:spacing w:after="0" w:line="480" w:lineRule="auto"/>
        <w:jc w:val="center"/>
        <w:rPr>
          <w:rFonts w:ascii="Times New Roman" w:hAnsi="Times New Roman" w:cs="Times New Roman"/>
          <w:iCs/>
          <w:sz w:val="24"/>
          <w:szCs w:val="24"/>
          <w:lang w:val="en"/>
        </w:rPr>
      </w:pPr>
      <w:r>
        <w:rPr>
          <w:rFonts w:ascii="Times New Roman" w:hAnsi="Times New Roman" w:cs="Times New Roman"/>
          <w:iCs/>
          <w:sz w:val="24"/>
          <w:szCs w:val="24"/>
          <w:lang w:val="en"/>
        </w:rPr>
        <w:lastRenderedPageBreak/>
        <w:t>Work Cited:</w:t>
      </w:r>
    </w:p>
    <w:p w14:paraId="014D33BF" w14:textId="77777777" w:rsidR="000D7F20" w:rsidRDefault="000D7F20" w:rsidP="000D7F20">
      <w:pPr>
        <w:spacing w:after="0" w:line="480" w:lineRule="auto"/>
        <w:rPr>
          <w:rFonts w:ascii="Times New Roman" w:hAnsi="Times New Roman" w:cs="Times New Roman"/>
          <w:iCs/>
          <w:sz w:val="24"/>
          <w:szCs w:val="24"/>
        </w:rPr>
      </w:pPr>
      <w:r w:rsidRPr="000D7F20">
        <w:rPr>
          <w:rFonts w:ascii="Times New Roman" w:hAnsi="Times New Roman" w:cs="Times New Roman"/>
          <w:iCs/>
          <w:sz w:val="24"/>
          <w:szCs w:val="24"/>
        </w:rPr>
        <w:t>Guyer, Richard. "Ring Around the Jury: Reviewing Florida's Capital Sentencing Framework in Hurst v. Florida." (2016): 242.</w:t>
      </w:r>
    </w:p>
    <w:p w14:paraId="09C6E541" w14:textId="77777777" w:rsidR="000D7F20" w:rsidRDefault="000D7F20" w:rsidP="000D7F20">
      <w:pPr>
        <w:spacing w:after="0" w:line="480" w:lineRule="auto"/>
        <w:rPr>
          <w:rFonts w:ascii="Times New Roman" w:hAnsi="Times New Roman" w:cs="Times New Roman"/>
          <w:iCs/>
          <w:sz w:val="24"/>
          <w:szCs w:val="24"/>
        </w:rPr>
      </w:pPr>
      <w:r w:rsidRPr="000D7F20">
        <w:rPr>
          <w:rFonts w:ascii="Times New Roman" w:hAnsi="Times New Roman" w:cs="Times New Roman"/>
          <w:iCs/>
          <w:sz w:val="24"/>
          <w:szCs w:val="24"/>
        </w:rPr>
        <w:t>Jacobs, David, and Jason T. Carmichael. "Ideology, social threat, and the death sentence: Capital sentences across time and space." </w:t>
      </w:r>
      <w:r w:rsidRPr="000D7F20">
        <w:rPr>
          <w:rFonts w:ascii="Times New Roman" w:hAnsi="Times New Roman" w:cs="Times New Roman"/>
          <w:i/>
          <w:iCs/>
          <w:sz w:val="24"/>
          <w:szCs w:val="24"/>
        </w:rPr>
        <w:t>Social Forces</w:t>
      </w:r>
      <w:r w:rsidRPr="000D7F20">
        <w:rPr>
          <w:rFonts w:ascii="Times New Roman" w:hAnsi="Times New Roman" w:cs="Times New Roman"/>
          <w:iCs/>
          <w:sz w:val="24"/>
          <w:szCs w:val="24"/>
        </w:rPr>
        <w:t> 83.1 (2004): 249-278.</w:t>
      </w:r>
    </w:p>
    <w:p w14:paraId="2E55B14D" w14:textId="77777777" w:rsidR="000D7F20" w:rsidRDefault="000D7F20" w:rsidP="000D7F20">
      <w:pPr>
        <w:spacing w:after="0" w:line="480" w:lineRule="auto"/>
        <w:rPr>
          <w:rFonts w:ascii="Times New Roman" w:hAnsi="Times New Roman" w:cs="Times New Roman"/>
          <w:iCs/>
          <w:sz w:val="24"/>
          <w:szCs w:val="24"/>
        </w:rPr>
      </w:pPr>
      <w:proofErr w:type="spellStart"/>
      <w:r w:rsidRPr="000D7F20">
        <w:rPr>
          <w:rFonts w:ascii="Times New Roman" w:hAnsi="Times New Roman" w:cs="Times New Roman"/>
          <w:iCs/>
          <w:sz w:val="24"/>
          <w:szCs w:val="24"/>
        </w:rPr>
        <w:t>Maerowitz</w:t>
      </w:r>
      <w:proofErr w:type="spellEnd"/>
      <w:r w:rsidRPr="000D7F20">
        <w:rPr>
          <w:rFonts w:ascii="Times New Roman" w:hAnsi="Times New Roman" w:cs="Times New Roman"/>
          <w:iCs/>
          <w:sz w:val="24"/>
          <w:szCs w:val="24"/>
        </w:rPr>
        <w:t>, Michael T. "Glossip v. Gross: The Insurmountable Burden of Proof in Eight Amendment Method-of-Execution Claims." </w:t>
      </w:r>
      <w:r w:rsidRPr="000D7F20">
        <w:rPr>
          <w:rFonts w:ascii="Times New Roman" w:hAnsi="Times New Roman" w:cs="Times New Roman"/>
          <w:i/>
          <w:iCs/>
          <w:sz w:val="24"/>
          <w:szCs w:val="24"/>
        </w:rPr>
        <w:t>Ariz. St. LJ</w:t>
      </w:r>
      <w:r w:rsidRPr="000D7F20">
        <w:rPr>
          <w:rFonts w:ascii="Times New Roman" w:hAnsi="Times New Roman" w:cs="Times New Roman"/>
          <w:iCs/>
          <w:sz w:val="24"/>
          <w:szCs w:val="24"/>
        </w:rPr>
        <w:t> 49 (2017): 279.</w:t>
      </w:r>
    </w:p>
    <w:p w14:paraId="287FAF47" w14:textId="77777777" w:rsidR="000D7F20" w:rsidRDefault="000D7F20" w:rsidP="000D7F20">
      <w:pPr>
        <w:spacing w:after="0" w:line="480" w:lineRule="auto"/>
        <w:rPr>
          <w:rFonts w:ascii="Times New Roman" w:hAnsi="Times New Roman" w:cs="Times New Roman"/>
          <w:iCs/>
          <w:sz w:val="24"/>
          <w:szCs w:val="24"/>
        </w:rPr>
      </w:pPr>
      <w:proofErr w:type="spellStart"/>
      <w:r w:rsidRPr="000D7F20">
        <w:rPr>
          <w:rFonts w:ascii="Times New Roman" w:hAnsi="Times New Roman" w:cs="Times New Roman"/>
          <w:iCs/>
          <w:sz w:val="24"/>
          <w:szCs w:val="24"/>
        </w:rPr>
        <w:t>Malec</w:t>
      </w:r>
      <w:proofErr w:type="spellEnd"/>
      <w:r w:rsidRPr="000D7F20">
        <w:rPr>
          <w:rFonts w:ascii="Times New Roman" w:hAnsi="Times New Roman" w:cs="Times New Roman"/>
          <w:iCs/>
          <w:sz w:val="24"/>
          <w:szCs w:val="24"/>
        </w:rPr>
        <w:t>, Norbert. "The Aftermath of the US Supreme Court in the Case Glossip v Gross." </w:t>
      </w:r>
      <w:proofErr w:type="spellStart"/>
      <w:r w:rsidRPr="000D7F20">
        <w:rPr>
          <w:rFonts w:ascii="Times New Roman" w:hAnsi="Times New Roman" w:cs="Times New Roman"/>
          <w:i/>
          <w:iCs/>
          <w:sz w:val="24"/>
          <w:szCs w:val="24"/>
        </w:rPr>
        <w:t>Studia</w:t>
      </w:r>
      <w:proofErr w:type="spellEnd"/>
      <w:r w:rsidRPr="000D7F20">
        <w:rPr>
          <w:rFonts w:ascii="Times New Roman" w:hAnsi="Times New Roman" w:cs="Times New Roman"/>
          <w:i/>
          <w:iCs/>
          <w:sz w:val="24"/>
          <w:szCs w:val="24"/>
        </w:rPr>
        <w:t xml:space="preserve"> </w:t>
      </w:r>
      <w:proofErr w:type="spellStart"/>
      <w:r w:rsidRPr="000D7F20">
        <w:rPr>
          <w:rFonts w:ascii="Times New Roman" w:hAnsi="Times New Roman" w:cs="Times New Roman"/>
          <w:i/>
          <w:iCs/>
          <w:sz w:val="24"/>
          <w:szCs w:val="24"/>
        </w:rPr>
        <w:t>Prawnicze</w:t>
      </w:r>
      <w:proofErr w:type="spellEnd"/>
      <w:r w:rsidRPr="000D7F20">
        <w:rPr>
          <w:rFonts w:ascii="Times New Roman" w:hAnsi="Times New Roman" w:cs="Times New Roman"/>
          <w:i/>
          <w:iCs/>
          <w:sz w:val="24"/>
          <w:szCs w:val="24"/>
        </w:rPr>
        <w:t xml:space="preserve"> </w:t>
      </w:r>
      <w:proofErr w:type="spellStart"/>
      <w:r w:rsidRPr="000D7F20">
        <w:rPr>
          <w:rFonts w:ascii="Times New Roman" w:hAnsi="Times New Roman" w:cs="Times New Roman"/>
          <w:i/>
          <w:iCs/>
          <w:sz w:val="24"/>
          <w:szCs w:val="24"/>
        </w:rPr>
        <w:t>i</w:t>
      </w:r>
      <w:proofErr w:type="spellEnd"/>
      <w:r w:rsidRPr="000D7F20">
        <w:rPr>
          <w:rFonts w:ascii="Times New Roman" w:hAnsi="Times New Roman" w:cs="Times New Roman"/>
          <w:i/>
          <w:iCs/>
          <w:sz w:val="24"/>
          <w:szCs w:val="24"/>
        </w:rPr>
        <w:t xml:space="preserve"> </w:t>
      </w:r>
      <w:proofErr w:type="spellStart"/>
      <w:r w:rsidRPr="000D7F20">
        <w:rPr>
          <w:rFonts w:ascii="Times New Roman" w:hAnsi="Times New Roman" w:cs="Times New Roman"/>
          <w:i/>
          <w:iCs/>
          <w:sz w:val="24"/>
          <w:szCs w:val="24"/>
        </w:rPr>
        <w:t>Administracyjne</w:t>
      </w:r>
      <w:proofErr w:type="spellEnd"/>
      <w:r w:rsidRPr="000D7F20">
        <w:rPr>
          <w:rFonts w:ascii="Times New Roman" w:hAnsi="Times New Roman" w:cs="Times New Roman"/>
          <w:iCs/>
          <w:sz w:val="24"/>
          <w:szCs w:val="24"/>
        </w:rPr>
        <w:t> 13 (3) (2015): 37-42.</w:t>
      </w:r>
    </w:p>
    <w:p w14:paraId="4573FFE3" w14:textId="77777777" w:rsidR="000D7F20" w:rsidRPr="00D51645" w:rsidRDefault="000D7F20" w:rsidP="000D7F20">
      <w:pPr>
        <w:spacing w:after="0" w:line="480" w:lineRule="auto"/>
        <w:rPr>
          <w:rFonts w:ascii="Times New Roman" w:hAnsi="Times New Roman" w:cs="Times New Roman"/>
          <w:iCs/>
          <w:sz w:val="24"/>
          <w:szCs w:val="24"/>
          <w:lang w:val="en"/>
        </w:rPr>
      </w:pPr>
      <w:r w:rsidRPr="000D7F20">
        <w:rPr>
          <w:rFonts w:ascii="Times New Roman" w:hAnsi="Times New Roman" w:cs="Times New Roman"/>
          <w:iCs/>
          <w:sz w:val="24"/>
          <w:szCs w:val="24"/>
        </w:rPr>
        <w:t>McCann, Stewart JH. "Societal threat, authoritarianism, conservatism, and US state death penalty sentencing (1977-2004)." </w:t>
      </w:r>
      <w:r w:rsidRPr="000D7F20">
        <w:rPr>
          <w:rFonts w:ascii="Times New Roman" w:hAnsi="Times New Roman" w:cs="Times New Roman"/>
          <w:i/>
          <w:iCs/>
          <w:sz w:val="24"/>
          <w:szCs w:val="24"/>
        </w:rPr>
        <w:t>Journal of Personality and Social Psychology</w:t>
      </w:r>
      <w:r w:rsidRPr="000D7F20">
        <w:rPr>
          <w:rFonts w:ascii="Times New Roman" w:hAnsi="Times New Roman" w:cs="Times New Roman"/>
          <w:iCs/>
          <w:sz w:val="24"/>
          <w:szCs w:val="24"/>
        </w:rPr>
        <w:t> 94.5 (2008): 913.</w:t>
      </w:r>
    </w:p>
    <w:p w14:paraId="0E2C756E" w14:textId="77777777" w:rsidR="000D7F20" w:rsidRDefault="000D7F20" w:rsidP="000D7F20">
      <w:pPr>
        <w:spacing w:after="0" w:line="480" w:lineRule="auto"/>
        <w:rPr>
          <w:rFonts w:ascii="Times New Roman" w:hAnsi="Times New Roman" w:cs="Times New Roman"/>
          <w:iCs/>
          <w:sz w:val="24"/>
          <w:szCs w:val="24"/>
        </w:rPr>
      </w:pPr>
      <w:proofErr w:type="spellStart"/>
      <w:r w:rsidRPr="000D7F20">
        <w:rPr>
          <w:rFonts w:ascii="Times New Roman" w:hAnsi="Times New Roman" w:cs="Times New Roman"/>
          <w:iCs/>
          <w:sz w:val="24"/>
          <w:szCs w:val="24"/>
        </w:rPr>
        <w:t>Wermer</w:t>
      </w:r>
      <w:proofErr w:type="spellEnd"/>
      <w:r w:rsidRPr="000D7F20">
        <w:rPr>
          <w:rFonts w:ascii="Times New Roman" w:hAnsi="Times New Roman" w:cs="Times New Roman"/>
          <w:iCs/>
          <w:sz w:val="24"/>
          <w:szCs w:val="24"/>
        </w:rPr>
        <w:t>, Jeffrey. "The Jury Requirement in Death Sentencing after Hurst v. Florida." </w:t>
      </w:r>
      <w:proofErr w:type="spellStart"/>
      <w:r w:rsidRPr="000D7F20">
        <w:rPr>
          <w:rFonts w:ascii="Times New Roman" w:hAnsi="Times New Roman" w:cs="Times New Roman"/>
          <w:i/>
          <w:iCs/>
          <w:sz w:val="24"/>
          <w:szCs w:val="24"/>
        </w:rPr>
        <w:t>Denv</w:t>
      </w:r>
      <w:proofErr w:type="spellEnd"/>
      <w:r w:rsidRPr="000D7F20">
        <w:rPr>
          <w:rFonts w:ascii="Times New Roman" w:hAnsi="Times New Roman" w:cs="Times New Roman"/>
          <w:i/>
          <w:iCs/>
          <w:sz w:val="24"/>
          <w:szCs w:val="24"/>
        </w:rPr>
        <w:t>. L. Rev.</w:t>
      </w:r>
      <w:r w:rsidRPr="000D7F20">
        <w:rPr>
          <w:rFonts w:ascii="Times New Roman" w:hAnsi="Times New Roman" w:cs="Times New Roman"/>
          <w:iCs/>
          <w:sz w:val="24"/>
          <w:szCs w:val="24"/>
        </w:rPr>
        <w:t> 94 (2016): 385.</w:t>
      </w:r>
    </w:p>
    <w:p w14:paraId="5AA1C38B" w14:textId="77777777" w:rsidR="008F24E4" w:rsidRPr="00504582" w:rsidRDefault="008F24E4" w:rsidP="000D7F20">
      <w:pPr>
        <w:spacing w:after="0" w:line="480" w:lineRule="auto"/>
        <w:rPr>
          <w:rFonts w:ascii="Times New Roman" w:hAnsi="Times New Roman" w:cs="Times New Roman"/>
          <w:sz w:val="24"/>
          <w:szCs w:val="24"/>
        </w:rPr>
      </w:pPr>
    </w:p>
    <w:sectPr w:rsidR="008F24E4" w:rsidRPr="00504582">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9BE20F" w14:textId="77777777" w:rsidR="000A7AB9" w:rsidRDefault="000A7AB9" w:rsidP="00C57F55">
      <w:pPr>
        <w:spacing w:after="0" w:line="240" w:lineRule="auto"/>
      </w:pPr>
      <w:r>
        <w:separator/>
      </w:r>
    </w:p>
  </w:endnote>
  <w:endnote w:type="continuationSeparator" w:id="0">
    <w:p w14:paraId="2BE20E14" w14:textId="77777777" w:rsidR="000A7AB9" w:rsidRDefault="000A7AB9" w:rsidP="00C57F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CD7C05" w14:textId="77777777" w:rsidR="000A7AB9" w:rsidRDefault="000A7AB9" w:rsidP="00C57F55">
      <w:pPr>
        <w:spacing w:after="0" w:line="240" w:lineRule="auto"/>
      </w:pPr>
      <w:r>
        <w:separator/>
      </w:r>
    </w:p>
  </w:footnote>
  <w:footnote w:type="continuationSeparator" w:id="0">
    <w:p w14:paraId="5604D4CD" w14:textId="77777777" w:rsidR="000A7AB9" w:rsidRDefault="000A7AB9" w:rsidP="00C57F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4220EE" w14:textId="77777777" w:rsidR="00517A89" w:rsidRDefault="00517A89">
    <w:pPr>
      <w:pStyle w:val="Header"/>
    </w:pPr>
  </w:p>
  <w:p w14:paraId="6214A157" w14:textId="77777777" w:rsidR="00C57F55" w:rsidRDefault="00C57F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582"/>
    <w:rsid w:val="00081B50"/>
    <w:rsid w:val="000A7AB9"/>
    <w:rsid w:val="000D7F20"/>
    <w:rsid w:val="001320C8"/>
    <w:rsid w:val="00134D67"/>
    <w:rsid w:val="00152E9B"/>
    <w:rsid w:val="001814EE"/>
    <w:rsid w:val="00217D6F"/>
    <w:rsid w:val="003164DA"/>
    <w:rsid w:val="00384A89"/>
    <w:rsid w:val="0046171E"/>
    <w:rsid w:val="00484857"/>
    <w:rsid w:val="004D77CA"/>
    <w:rsid w:val="00504582"/>
    <w:rsid w:val="00517A89"/>
    <w:rsid w:val="0069639C"/>
    <w:rsid w:val="00722F41"/>
    <w:rsid w:val="008F24E4"/>
    <w:rsid w:val="009B679F"/>
    <w:rsid w:val="00A574BB"/>
    <w:rsid w:val="00A90548"/>
    <w:rsid w:val="00B030A4"/>
    <w:rsid w:val="00BE5C20"/>
    <w:rsid w:val="00C4370A"/>
    <w:rsid w:val="00C57F55"/>
    <w:rsid w:val="00CB4937"/>
    <w:rsid w:val="00CC78D4"/>
    <w:rsid w:val="00CE48C1"/>
    <w:rsid w:val="00D51645"/>
    <w:rsid w:val="00E0739C"/>
    <w:rsid w:val="00E10584"/>
    <w:rsid w:val="00E748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5FF35"/>
  <w15:chartTrackingRefBased/>
  <w15:docId w15:val="{21EB1F4E-68DA-43A6-93E8-696BEAA48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458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4582"/>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C57F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7F55"/>
  </w:style>
  <w:style w:type="paragraph" w:styleId="Footer">
    <w:name w:val="footer"/>
    <w:basedOn w:val="Normal"/>
    <w:link w:val="FooterChar"/>
    <w:uiPriority w:val="99"/>
    <w:unhideWhenUsed/>
    <w:rsid w:val="00C57F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7F55"/>
  </w:style>
  <w:style w:type="character" w:styleId="Hyperlink">
    <w:name w:val="Hyperlink"/>
    <w:basedOn w:val="DefaultParagraphFont"/>
    <w:uiPriority w:val="99"/>
    <w:unhideWhenUsed/>
    <w:rsid w:val="009B679F"/>
    <w:rPr>
      <w:color w:val="0563C1" w:themeColor="hyperlink"/>
      <w:u w:val="single"/>
    </w:rPr>
  </w:style>
  <w:style w:type="character" w:styleId="UnresolvedMention">
    <w:name w:val="Unresolved Mention"/>
    <w:basedOn w:val="DefaultParagraphFont"/>
    <w:uiPriority w:val="99"/>
    <w:semiHidden/>
    <w:unhideWhenUsed/>
    <w:rsid w:val="009B67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662490">
      <w:bodyDiv w:val="1"/>
      <w:marLeft w:val="0"/>
      <w:marRight w:val="0"/>
      <w:marTop w:val="0"/>
      <w:marBottom w:val="0"/>
      <w:divBdr>
        <w:top w:val="none" w:sz="0" w:space="0" w:color="auto"/>
        <w:left w:val="none" w:sz="0" w:space="0" w:color="auto"/>
        <w:bottom w:val="none" w:sz="0" w:space="0" w:color="auto"/>
        <w:right w:val="none" w:sz="0" w:space="0" w:color="auto"/>
      </w:divBdr>
    </w:div>
    <w:div w:id="1000887867">
      <w:bodyDiv w:val="1"/>
      <w:marLeft w:val="0"/>
      <w:marRight w:val="0"/>
      <w:marTop w:val="0"/>
      <w:marBottom w:val="0"/>
      <w:divBdr>
        <w:top w:val="none" w:sz="0" w:space="0" w:color="auto"/>
        <w:left w:val="none" w:sz="0" w:space="0" w:color="auto"/>
        <w:bottom w:val="none" w:sz="0" w:space="0" w:color="auto"/>
        <w:right w:val="none" w:sz="0" w:space="0" w:color="auto"/>
      </w:divBdr>
    </w:div>
    <w:div w:id="1261141727">
      <w:bodyDiv w:val="1"/>
      <w:marLeft w:val="0"/>
      <w:marRight w:val="0"/>
      <w:marTop w:val="0"/>
      <w:marBottom w:val="0"/>
      <w:divBdr>
        <w:top w:val="none" w:sz="0" w:space="0" w:color="auto"/>
        <w:left w:val="none" w:sz="0" w:space="0" w:color="auto"/>
        <w:bottom w:val="none" w:sz="0" w:space="0" w:color="auto"/>
        <w:right w:val="none" w:sz="0" w:space="0" w:color="auto"/>
      </w:divBdr>
    </w:div>
    <w:div w:id="1941452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907</Words>
  <Characters>5172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macharia</dc:creator>
  <cp:keywords/>
  <dc:description/>
  <cp:lastModifiedBy>mssuite2927</cp:lastModifiedBy>
  <cp:revision>4</cp:revision>
  <dcterms:created xsi:type="dcterms:W3CDTF">2019-10-26T16:53:00Z</dcterms:created>
  <dcterms:modified xsi:type="dcterms:W3CDTF">2019-12-09T07:55:00Z</dcterms:modified>
</cp:coreProperties>
</file>